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D2" w:rsidRPr="002B1A89" w:rsidRDefault="002B1A89">
      <w:pPr>
        <w:rPr>
          <w:rFonts w:ascii="맑은 고딕" w:eastAsia="맑은 고딕" w:hAnsi="맑은 고딕" w:hint="eastAsia"/>
          <w:szCs w:val="20"/>
        </w:rPr>
      </w:pPr>
      <w:r w:rsidRPr="002B1A89">
        <w:rPr>
          <w:rFonts w:ascii="맑은 고딕" w:eastAsia="맑은 고딕" w:hAnsi="맑은 고딕" w:hint="eastAsia"/>
          <w:szCs w:val="20"/>
        </w:rPr>
        <w:t xml:space="preserve">ASN(Abstract Syntax Notation).1 </w:t>
      </w:r>
    </w:p>
    <w:p w:rsidR="002B1A89" w:rsidRPr="002B1A89" w:rsidRDefault="002B1A89" w:rsidP="002B1A89">
      <w:pPr>
        <w:pStyle w:val="a3"/>
        <w:numPr>
          <w:ilvl w:val="0"/>
          <w:numId w:val="1"/>
        </w:numPr>
        <w:ind w:leftChars="0"/>
        <w:rPr>
          <w:rFonts w:ascii="맑은 고딕" w:eastAsia="맑은 고딕" w:hAnsi="맑은 고딕" w:hint="eastAsia"/>
          <w:szCs w:val="20"/>
        </w:rPr>
      </w:pPr>
      <w:r w:rsidRPr="002B1A89">
        <w:rPr>
          <w:rFonts w:ascii="맑은 고딕" w:eastAsia="맑은 고딕" w:hAnsi="맑은 고딕" w:hint="eastAsia"/>
          <w:szCs w:val="20"/>
        </w:rPr>
        <w:t>시스템마다 데이터를 표기하는 방법이 다를 수 있음.</w:t>
      </w:r>
    </w:p>
    <w:p w:rsidR="002B1A89" w:rsidRPr="002B1A89" w:rsidRDefault="002B1A89" w:rsidP="002B1A89">
      <w:pPr>
        <w:pStyle w:val="a3"/>
        <w:numPr>
          <w:ilvl w:val="0"/>
          <w:numId w:val="1"/>
        </w:numPr>
        <w:ind w:leftChars="0"/>
        <w:rPr>
          <w:rFonts w:ascii="맑은 고딕" w:eastAsia="맑은 고딕" w:hAnsi="맑은 고딕" w:hint="eastAsia"/>
          <w:szCs w:val="20"/>
        </w:rPr>
      </w:pPr>
      <w:r w:rsidRPr="002B1A89">
        <w:rPr>
          <w:rFonts w:ascii="맑은 고딕" w:eastAsia="맑은 고딕" w:hAnsi="맑은 고딕" w:hint="eastAsia"/>
          <w:szCs w:val="20"/>
        </w:rPr>
        <w:t xml:space="preserve">시스템 유형과 형태가 다변화되면서 </w:t>
      </w:r>
      <w:r w:rsidRPr="002B1A89">
        <w:rPr>
          <w:rFonts w:ascii="맑은 고딕" w:eastAsia="맑은 고딕" w:hAnsi="맑은 고딕"/>
          <w:szCs w:val="20"/>
        </w:rPr>
        <w:t>ASN.1을이용하</w:t>
      </w:r>
      <w:r w:rsidRPr="002B1A89">
        <w:rPr>
          <w:rFonts w:ascii="맑은 고딕" w:eastAsia="맑은 고딕" w:hAnsi="맑은 고딕" w:hint="eastAsia"/>
          <w:szCs w:val="20"/>
        </w:rPr>
        <w:t>여 서로 다른 장비에서의 동일한 데이터를 인식하도록 하여 데이터의 오류가 생기지 않도록 함</w:t>
      </w:r>
      <w:r>
        <w:rPr>
          <w:rFonts w:ascii="맑은 고딕" w:eastAsia="맑은 고딕" w:hAnsi="맑은 고딕" w:hint="eastAsia"/>
          <w:szCs w:val="20"/>
        </w:rPr>
        <w:t xml:space="preserve"> (메모리에 저장하는 방식, 저장값이 다름)</w:t>
      </w:r>
    </w:p>
    <w:p w:rsidR="002B1A89" w:rsidRDefault="002B1A89" w:rsidP="002B1A89">
      <w:pPr>
        <w:pStyle w:val="Default"/>
        <w:spacing w:before="6"/>
        <w:ind w:left="760"/>
        <w:rPr>
          <w:rFonts w:ascii="맑은 고딕" w:eastAsia="맑은 고딕" w:hAnsi="맑은 고딕" w:hint="eastAsia"/>
          <w:sz w:val="20"/>
          <w:szCs w:val="20"/>
        </w:rPr>
      </w:pPr>
    </w:p>
    <w:p w:rsidR="002B1A89" w:rsidRPr="002B1A89" w:rsidRDefault="002B1A89" w:rsidP="002B1A89">
      <w:pPr>
        <w:pStyle w:val="Default"/>
        <w:numPr>
          <w:ilvl w:val="0"/>
          <w:numId w:val="1"/>
        </w:numPr>
        <w:spacing w:before="6"/>
        <w:rPr>
          <w:rFonts w:ascii="맑은 고딕" w:eastAsia="맑은 고딕" w:hAnsi="맑은 고딕"/>
          <w:sz w:val="20"/>
          <w:szCs w:val="20"/>
        </w:rPr>
      </w:pPr>
      <w:r w:rsidRPr="002B1A89">
        <w:rPr>
          <w:rFonts w:ascii="맑은 고딕" w:eastAsia="맑은 고딕" w:hAnsi="맑은 고딕"/>
          <w:sz w:val="20"/>
          <w:szCs w:val="20"/>
        </w:rPr>
        <w:t>ASN.1</w:t>
      </w:r>
      <w:r w:rsidRPr="002B1A89">
        <w:rPr>
          <w:rFonts w:ascii="맑은 고딕" w:eastAsia="맑은 고딕" w:hAnsi="맑은 고딕" w:hint="eastAsia"/>
          <w:sz w:val="20"/>
          <w:szCs w:val="20"/>
        </w:rPr>
        <w:t>에서는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/>
          <w:sz w:val="20"/>
          <w:szCs w:val="20"/>
        </w:rPr>
        <w:t>INTEGER</w:t>
      </w:r>
      <w:r w:rsidRPr="002B1A89">
        <w:rPr>
          <w:rFonts w:ascii="맑은 고딕" w:eastAsia="맑은 고딕" w:hAnsi="맑은 고딕" w:hint="eastAsia"/>
          <w:sz w:val="20"/>
          <w:szCs w:val="20"/>
        </w:rPr>
        <w:t>나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각종</w:t>
      </w:r>
      <w:r w:rsidRPr="002B1A89">
        <w:rPr>
          <w:rFonts w:ascii="맑은 고딕" w:eastAsia="맑은 고딕" w:hAnsi="맑은 고딕"/>
          <w:sz w:val="20"/>
          <w:szCs w:val="20"/>
        </w:rPr>
        <w:t>STRING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형태의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데이터를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비롯하여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그러한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/>
          <w:sz w:val="20"/>
          <w:szCs w:val="20"/>
        </w:rPr>
        <w:t>ASN.1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/>
          <w:sz w:val="20"/>
          <w:szCs w:val="20"/>
        </w:rPr>
        <w:t>content</w:t>
      </w:r>
      <w:r w:rsidRPr="002B1A89">
        <w:rPr>
          <w:rFonts w:ascii="맑은 고딕" w:eastAsia="맑은 고딕" w:hAnsi="맑은 고딕" w:hint="eastAsia"/>
          <w:sz w:val="20"/>
          <w:szCs w:val="20"/>
        </w:rPr>
        <w:t>들의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모임인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/>
          <w:sz w:val="20"/>
          <w:szCs w:val="20"/>
        </w:rPr>
        <w:t>SEQUENCE</w:t>
      </w:r>
      <w:r w:rsidRPr="002B1A89">
        <w:rPr>
          <w:rFonts w:ascii="맑은 고딕" w:eastAsia="맑은 고딕" w:hAnsi="맑은 고딕" w:hint="eastAsia"/>
          <w:sz w:val="20"/>
          <w:szCs w:val="20"/>
        </w:rPr>
        <w:t>나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/>
          <w:sz w:val="20"/>
          <w:szCs w:val="20"/>
        </w:rPr>
        <w:t>SET</w:t>
      </w:r>
      <w:r w:rsidRPr="002B1A89">
        <w:rPr>
          <w:rFonts w:ascii="맑은 고딕" w:eastAsia="맑은 고딕" w:hAnsi="맑은 고딕" w:hint="eastAsia"/>
          <w:sz w:val="20"/>
          <w:szCs w:val="20"/>
        </w:rPr>
        <w:t>등의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데이터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표현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방식을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정의함으로써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대부분의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네트워크상에서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교환되어지는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메시지들을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/>
          <w:sz w:val="20"/>
          <w:szCs w:val="20"/>
        </w:rPr>
        <w:t>ASN.1</w:t>
      </w:r>
      <w:r w:rsidRPr="002B1A89">
        <w:rPr>
          <w:rFonts w:ascii="맑은 고딕" w:eastAsia="맑은 고딕" w:hAnsi="맑은 고딕" w:hint="eastAsia"/>
          <w:sz w:val="20"/>
          <w:szCs w:val="20"/>
        </w:rPr>
        <w:t>방식에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따라서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표현할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수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있도록</w:t>
      </w:r>
      <w:r>
        <w:rPr>
          <w:rFonts w:ascii="맑은 고딕" w:eastAsia="맑은 고딕" w:hAnsi="맑은 고딕" w:hint="eastAsia"/>
          <w:sz w:val="20"/>
          <w:szCs w:val="20"/>
        </w:rPr>
        <w:t xml:space="preserve"> </w:t>
      </w:r>
      <w:r w:rsidRPr="002B1A89">
        <w:rPr>
          <w:rFonts w:ascii="맑은 고딕" w:eastAsia="맑은 고딕" w:hAnsi="맑은 고딕" w:hint="eastAsia"/>
          <w:sz w:val="20"/>
          <w:szCs w:val="20"/>
        </w:rPr>
        <w:t>하였다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>ASN.1 문법 Ex)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>Order ::=SEQUENCE{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/>
          <w:szCs w:val="20"/>
        </w:rPr>
        <w:t>H</w:t>
      </w:r>
      <w:r>
        <w:rPr>
          <w:rFonts w:ascii="맑은 고딕" w:eastAsia="맑은 고딕" w:hAnsi="맑은 고딕" w:hint="eastAsia"/>
          <w:szCs w:val="20"/>
        </w:rPr>
        <w:t>eader Order-header,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/>
          <w:szCs w:val="20"/>
        </w:rPr>
        <w:t>I</w:t>
      </w:r>
      <w:r>
        <w:rPr>
          <w:rFonts w:ascii="맑은 고딕" w:eastAsia="맑은 고딕" w:hAnsi="맑은 고딕" w:hint="eastAsia"/>
          <w:szCs w:val="20"/>
        </w:rPr>
        <w:t>tems SEQUENCE OF Order-line}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>Order-header ::=SEQUENCE{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/>
          <w:szCs w:val="20"/>
        </w:rPr>
        <w:t>N</w:t>
      </w:r>
      <w:r>
        <w:rPr>
          <w:rFonts w:ascii="맑은 고딕" w:eastAsia="맑은 고딕" w:hAnsi="맑은 고딕" w:hint="eastAsia"/>
          <w:szCs w:val="20"/>
        </w:rPr>
        <w:t>umber Order-number,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/>
          <w:szCs w:val="20"/>
        </w:rPr>
        <w:t>D</w:t>
      </w:r>
      <w:r>
        <w:rPr>
          <w:rFonts w:ascii="맑은 고딕" w:eastAsia="맑은 고딕" w:hAnsi="맑은 고딕" w:hint="eastAsia"/>
          <w:szCs w:val="20"/>
        </w:rPr>
        <w:t>ate Date,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/>
          <w:szCs w:val="20"/>
        </w:rPr>
        <w:t>C</w:t>
      </w:r>
      <w:r>
        <w:rPr>
          <w:rFonts w:ascii="맑은 고딕" w:eastAsia="맑은 고딕" w:hAnsi="맑은 고딕" w:hint="eastAsia"/>
          <w:szCs w:val="20"/>
        </w:rPr>
        <w:t>lient Client,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ab/>
      </w:r>
      <w:r>
        <w:rPr>
          <w:rFonts w:ascii="맑은 고딕" w:eastAsia="맑은 고딕" w:hAnsi="맑은 고딕"/>
          <w:szCs w:val="20"/>
        </w:rPr>
        <w:t>P</w:t>
      </w:r>
      <w:r>
        <w:rPr>
          <w:rFonts w:ascii="맑은 고딕" w:eastAsia="맑은 고딕" w:hAnsi="맑은 고딕" w:hint="eastAsia"/>
          <w:szCs w:val="20"/>
        </w:rPr>
        <w:t>ayment Payment-method}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>ASN.1 데이터 저장 및 표현 방법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>ASN.1의 Encoding Rule은 BER (Basic Encoding Rules), CER(Canonical Encoding Rules), DER(Distinguished Encoding Rules), PER(Packed Encoding Rules), XER(XML Encoding Rules) 등 다양한 형태가 존재함</w:t>
      </w: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</w:p>
    <w:p w:rsidR="002B1A89" w:rsidRDefault="002B1A89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데이터의 형태는 TLV(Type, </w:t>
      </w:r>
      <w:r>
        <w:rPr>
          <w:rFonts w:ascii="맑은 고딕" w:eastAsia="맑은 고딕" w:hAnsi="맑은 고딕"/>
          <w:szCs w:val="20"/>
        </w:rPr>
        <w:t>Length, Value)</w:t>
      </w:r>
      <w:r>
        <w:rPr>
          <w:rFonts w:ascii="맑은 고딕" w:eastAsia="맑은 고딕" w:hAnsi="맑은 고딕" w:hint="eastAsia"/>
          <w:szCs w:val="20"/>
        </w:rPr>
        <w:t xml:space="preserve"> 형태의 구조로 표현함</w:t>
      </w:r>
    </w:p>
    <w:p w:rsidR="00AC1FFB" w:rsidRDefault="00AC1FFB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>BER에서는 OCTET으로 구성되어있다.</w:t>
      </w:r>
    </w:p>
    <w:p w:rsidR="00AC1FFB" w:rsidRDefault="00AC1FFB" w:rsidP="002B1A89">
      <w:pPr>
        <w:rPr>
          <w:rFonts w:ascii="맑은 고딕" w:eastAsia="맑은 고딕" w:hAnsi="맑은 고딕" w:hint="eastAsia"/>
          <w:szCs w:val="20"/>
        </w:rPr>
      </w:pPr>
    </w:p>
    <w:p w:rsidR="00AC1FFB" w:rsidRDefault="00AC1FFB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>T- Tag</w:t>
      </w:r>
    </w:p>
    <w:p w:rsidR="00AC1FFB" w:rsidRDefault="00AC1FFB" w:rsidP="002B1A89">
      <w:pPr>
        <w:rPr>
          <w:rFonts w:ascii="맑은 고딕" w:eastAsia="맑은 고딕" w:hAnsi="맑은 고딕" w:hint="eastAsia"/>
          <w:szCs w:val="20"/>
        </w:rPr>
      </w:pPr>
      <w:r>
        <w:rPr>
          <w:rFonts w:ascii="맑은 고딕" w:eastAsia="맑은 고딕" w:hAnsi="맑은 고딕" w:hint="eastAsia"/>
          <w:szCs w:val="20"/>
        </w:rPr>
        <w:t>식별자는 0~30까지 표현가능하며, 1byte로 표현한다.</w:t>
      </w:r>
    </w:p>
    <w:p w:rsidR="00467AC0" w:rsidRDefault="00467AC0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/>
          <w:szCs w:val="20"/>
        </w:rPr>
        <w:br w:type="page"/>
      </w:r>
    </w:p>
    <w:p w:rsidR="00467AC0" w:rsidRPr="00467AC0" w:rsidRDefault="00467AC0" w:rsidP="00467AC0">
      <w:pPr>
        <w:widowControl/>
        <w:wordWrap/>
        <w:autoSpaceDE/>
        <w:autoSpaceDN/>
        <w:spacing w:before="225" w:after="225"/>
        <w:jc w:val="left"/>
        <w:outlineLvl w:val="3"/>
        <w:rPr>
          <w:rFonts w:ascii="Segoe UI" w:eastAsia="굴림" w:hAnsi="Segoe UI" w:cs="Segoe UI"/>
          <w:color w:val="333333"/>
          <w:kern w:val="0"/>
          <w:sz w:val="30"/>
          <w:szCs w:val="30"/>
        </w:rPr>
      </w:pPr>
      <w:r w:rsidRPr="00467AC0">
        <w:rPr>
          <w:rFonts w:ascii="Segoe UI" w:eastAsia="굴림" w:hAnsi="Segoe UI" w:cs="Segoe UI"/>
          <w:color w:val="333333"/>
          <w:kern w:val="0"/>
          <w:sz w:val="30"/>
          <w:szCs w:val="30"/>
        </w:rPr>
        <w:lastRenderedPageBreak/>
        <w:t>ASN.1</w:t>
      </w:r>
    </w:p>
    <w:p w:rsidR="00467AC0" w:rsidRPr="00467AC0" w:rsidRDefault="00467AC0" w:rsidP="00467AC0">
      <w:pPr>
        <w:widowControl/>
        <w:wordWrap/>
        <w:autoSpaceDE/>
        <w:autoSpaceDN/>
        <w:jc w:val="left"/>
        <w:rPr>
          <w:rFonts w:ascii="Segoe UI" w:eastAsia="굴림" w:hAnsi="Segoe UI" w:cs="Segoe UI"/>
          <w:color w:val="333333"/>
          <w:kern w:val="0"/>
          <w:szCs w:val="20"/>
        </w:rPr>
      </w:pPr>
      <w:r w:rsidRPr="00467AC0">
        <w:rPr>
          <w:rFonts w:ascii="Segoe UI" w:eastAsia="굴림" w:hAnsi="Segoe UI" w:cs="Segoe UI"/>
          <w:color w:val="333333"/>
          <w:kern w:val="0"/>
          <w:sz w:val="30"/>
          <w:szCs w:val="30"/>
        </w:rPr>
        <w:pict/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ASN.1(Abstract Syntax Notation One)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구현에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관계없이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표준을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정의하는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언어이며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표준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작성자가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사용하는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언어입니다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. CalTech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의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John Smith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는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한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구성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요소가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다른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구성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요소와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의사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소통하는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데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필요한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절차를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표준화하는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권고안을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만들기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위해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ASN.1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표기법으로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권고안을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작성하여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ITU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같은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표준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기구에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권고안을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제출합니다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. ASN.1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표준을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설명하는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공용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언어를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제공하여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전문가와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위원회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회원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간의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의사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소통을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원활하게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합니다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. ASN.1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ITU-T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권고안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X.209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및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X.690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에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정의되어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있습니다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.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br/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br/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br/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예를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들어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, ASN.1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다음을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정의합니다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. </w:t>
      </w:r>
    </w:p>
    <w:p w:rsidR="00467AC0" w:rsidRPr="00467AC0" w:rsidRDefault="00467AC0" w:rsidP="00467AC0">
      <w:pPr>
        <w:widowControl/>
        <w:numPr>
          <w:ilvl w:val="0"/>
          <w:numId w:val="2"/>
        </w:numPr>
        <w:wordWrap/>
        <w:autoSpaceDE/>
        <w:autoSpaceDN/>
        <w:ind w:left="1200"/>
        <w:jc w:val="left"/>
        <w:rPr>
          <w:rFonts w:ascii="Segoe UI" w:eastAsia="굴림" w:hAnsi="Segoe UI" w:cs="Segoe UI"/>
          <w:color w:val="333333"/>
          <w:kern w:val="0"/>
          <w:szCs w:val="20"/>
        </w:rPr>
      </w:pPr>
      <w:r w:rsidRPr="00467AC0">
        <w:rPr>
          <w:rFonts w:ascii="Segoe UI" w:eastAsia="굴림" w:hAnsi="Segoe UI" w:cs="Segoe UI"/>
          <w:color w:val="333333"/>
          <w:kern w:val="0"/>
          <w:szCs w:val="20"/>
        </w:rPr>
        <w:t>"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형식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"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정의</w:t>
      </w:r>
    </w:p>
    <w:p w:rsidR="00467AC0" w:rsidRPr="00467AC0" w:rsidRDefault="00467AC0" w:rsidP="00467AC0">
      <w:pPr>
        <w:widowControl/>
        <w:numPr>
          <w:ilvl w:val="0"/>
          <w:numId w:val="2"/>
        </w:numPr>
        <w:wordWrap/>
        <w:autoSpaceDE/>
        <w:autoSpaceDN/>
        <w:ind w:left="1200"/>
        <w:jc w:val="left"/>
        <w:rPr>
          <w:rFonts w:ascii="Segoe UI" w:eastAsia="굴림" w:hAnsi="Segoe UI" w:cs="Segoe UI"/>
          <w:color w:val="333333"/>
          <w:kern w:val="0"/>
          <w:szCs w:val="20"/>
        </w:rPr>
      </w:pPr>
      <w:r w:rsidRPr="00467AC0">
        <w:rPr>
          <w:rFonts w:ascii="Segoe UI" w:eastAsia="굴림" w:hAnsi="Segoe UI" w:cs="Segoe UI"/>
          <w:color w:val="333333"/>
          <w:kern w:val="0"/>
          <w:szCs w:val="20"/>
        </w:rPr>
        <w:t>"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모듈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"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정의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및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표시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방법</w:t>
      </w:r>
    </w:p>
    <w:p w:rsidR="00467AC0" w:rsidRPr="00467AC0" w:rsidRDefault="00467AC0" w:rsidP="00467AC0">
      <w:pPr>
        <w:widowControl/>
        <w:numPr>
          <w:ilvl w:val="0"/>
          <w:numId w:val="2"/>
        </w:numPr>
        <w:wordWrap/>
        <w:autoSpaceDE/>
        <w:autoSpaceDN/>
        <w:ind w:left="1200"/>
        <w:jc w:val="left"/>
        <w:rPr>
          <w:rFonts w:ascii="Segoe UI" w:eastAsia="굴림" w:hAnsi="Segoe UI" w:cs="Segoe UI"/>
          <w:color w:val="333333"/>
          <w:kern w:val="0"/>
          <w:szCs w:val="20"/>
        </w:rPr>
      </w:pP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INTEGER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정의</w:t>
      </w:r>
    </w:p>
    <w:p w:rsidR="00467AC0" w:rsidRPr="00467AC0" w:rsidRDefault="00467AC0" w:rsidP="00467AC0">
      <w:pPr>
        <w:widowControl/>
        <w:numPr>
          <w:ilvl w:val="0"/>
          <w:numId w:val="2"/>
        </w:numPr>
        <w:wordWrap/>
        <w:autoSpaceDE/>
        <w:autoSpaceDN/>
        <w:ind w:left="1200"/>
        <w:jc w:val="left"/>
        <w:rPr>
          <w:rFonts w:ascii="Segoe UI" w:eastAsia="굴림" w:hAnsi="Segoe UI" w:cs="Segoe UI"/>
          <w:color w:val="333333"/>
          <w:kern w:val="0"/>
          <w:szCs w:val="20"/>
        </w:rPr>
      </w:pP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BOOLEAN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정의</w:t>
      </w:r>
    </w:p>
    <w:p w:rsidR="00467AC0" w:rsidRPr="00467AC0" w:rsidRDefault="00467AC0" w:rsidP="00467AC0">
      <w:pPr>
        <w:widowControl/>
        <w:numPr>
          <w:ilvl w:val="0"/>
          <w:numId w:val="2"/>
        </w:numPr>
        <w:wordWrap/>
        <w:autoSpaceDE/>
        <w:autoSpaceDN/>
        <w:ind w:left="1200"/>
        <w:jc w:val="left"/>
        <w:rPr>
          <w:rFonts w:ascii="Segoe UI" w:eastAsia="굴림" w:hAnsi="Segoe UI" w:cs="Segoe UI"/>
          <w:color w:val="333333"/>
          <w:kern w:val="0"/>
          <w:szCs w:val="20"/>
        </w:rPr>
      </w:pPr>
      <w:r w:rsidRPr="00467AC0">
        <w:rPr>
          <w:rFonts w:ascii="Segoe UI" w:eastAsia="굴림" w:hAnsi="Segoe UI" w:cs="Segoe UI"/>
          <w:color w:val="333333"/>
          <w:kern w:val="0"/>
          <w:szCs w:val="20"/>
        </w:rPr>
        <w:t>"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구조체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형식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"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정의</w:t>
      </w:r>
    </w:p>
    <w:p w:rsidR="00467AC0" w:rsidRPr="00467AC0" w:rsidRDefault="00467AC0" w:rsidP="00467AC0">
      <w:pPr>
        <w:widowControl/>
        <w:numPr>
          <w:ilvl w:val="0"/>
          <w:numId w:val="2"/>
        </w:numPr>
        <w:wordWrap/>
        <w:autoSpaceDE/>
        <w:autoSpaceDN/>
        <w:ind w:left="1200"/>
        <w:jc w:val="left"/>
        <w:rPr>
          <w:rFonts w:ascii="Segoe UI" w:eastAsia="굴림" w:hAnsi="Segoe UI" w:cs="Segoe UI"/>
          <w:color w:val="333333"/>
          <w:kern w:val="0"/>
          <w:szCs w:val="20"/>
        </w:rPr>
      </w:pPr>
      <w:r w:rsidRPr="00467AC0">
        <w:rPr>
          <w:rFonts w:ascii="Segoe UI" w:eastAsia="굴림" w:hAnsi="Segoe UI" w:cs="Segoe UI"/>
          <w:color w:val="333333"/>
          <w:kern w:val="0"/>
          <w:szCs w:val="20"/>
        </w:rPr>
        <w:t>특정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키워드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(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예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: BEGIN, END, IMPORT, EXPORT, EXTERNAL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등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)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의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의미</w:t>
      </w:r>
    </w:p>
    <w:p w:rsidR="00467AC0" w:rsidRPr="00467AC0" w:rsidRDefault="00467AC0" w:rsidP="00467AC0">
      <w:pPr>
        <w:widowControl/>
        <w:numPr>
          <w:ilvl w:val="0"/>
          <w:numId w:val="2"/>
        </w:numPr>
        <w:wordWrap/>
        <w:autoSpaceDE/>
        <w:autoSpaceDN/>
        <w:ind w:left="1200"/>
        <w:jc w:val="left"/>
        <w:rPr>
          <w:rFonts w:ascii="Segoe UI" w:eastAsia="굴림" w:hAnsi="Segoe UI" w:cs="Segoe UI"/>
          <w:color w:val="333333"/>
          <w:kern w:val="0"/>
          <w:szCs w:val="20"/>
        </w:rPr>
      </w:pPr>
      <w:r w:rsidRPr="00467AC0">
        <w:rPr>
          <w:rFonts w:ascii="Segoe UI" w:eastAsia="굴림" w:hAnsi="Segoe UI" w:cs="Segoe UI"/>
          <w:color w:val="333333"/>
          <w:kern w:val="0"/>
          <w:szCs w:val="20"/>
        </w:rPr>
        <w:t>적절히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인코딩할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수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있도록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형식을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"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태그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"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하는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방법</w:t>
      </w:r>
    </w:p>
    <w:p w:rsidR="00AC1FFB" w:rsidRPr="002B1A89" w:rsidRDefault="00467AC0" w:rsidP="00467AC0">
      <w:pPr>
        <w:rPr>
          <w:rFonts w:ascii="맑은 고딕" w:eastAsia="맑은 고딕" w:hAnsi="맑은 고딕"/>
          <w:szCs w:val="20"/>
        </w:rPr>
      </w:pPr>
      <w:r w:rsidRPr="00467AC0">
        <w:rPr>
          <w:rFonts w:ascii="Segoe UI" w:eastAsia="굴림" w:hAnsi="Segoe UI" w:cs="Segoe UI"/>
          <w:color w:val="333333"/>
          <w:kern w:val="0"/>
          <w:szCs w:val="20"/>
        </w:rPr>
        <w:t>ASN.1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특정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표준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,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인코딩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방법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,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프로그래밍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언어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또는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하드웨어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플랫폼에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관계없이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적용되며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,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단순히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표준을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정의하는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언어입니다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.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즉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,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표준이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ASN.1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로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 xml:space="preserve"> 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작성됩니다</w:t>
      </w:r>
      <w:r w:rsidRPr="00467AC0">
        <w:rPr>
          <w:rFonts w:ascii="Segoe UI" w:eastAsia="굴림" w:hAnsi="Segoe UI" w:cs="Segoe UI"/>
          <w:color w:val="333333"/>
          <w:kern w:val="0"/>
          <w:szCs w:val="20"/>
        </w:rPr>
        <w:t>.</w:t>
      </w:r>
    </w:p>
    <w:sectPr w:rsidR="00AC1FFB" w:rsidRPr="002B1A89" w:rsidSect="00A367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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042"/>
    <w:multiLevelType w:val="multilevel"/>
    <w:tmpl w:val="873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A2AC6"/>
    <w:multiLevelType w:val="hybridMultilevel"/>
    <w:tmpl w:val="3946B722"/>
    <w:lvl w:ilvl="0" w:tplc="122EC73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B1A89"/>
    <w:rsid w:val="002B1A89"/>
    <w:rsid w:val="00467AC0"/>
    <w:rsid w:val="00A367D2"/>
    <w:rsid w:val="00AC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D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A89"/>
    <w:pPr>
      <w:ind w:leftChars="400" w:left="800"/>
    </w:pPr>
  </w:style>
  <w:style w:type="paragraph" w:customStyle="1" w:styleId="Default">
    <w:name w:val="Default"/>
    <w:rsid w:val="002B1A89"/>
    <w:pPr>
      <w:widowControl w:val="0"/>
      <w:autoSpaceDE w:val="0"/>
      <w:autoSpaceDN w:val="0"/>
      <w:adjustRightInd w:val="0"/>
    </w:pPr>
    <w:rPr>
      <w:rFonts w:ascii="" w:eastAsia="" w:cs="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AC1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5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6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59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0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05343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79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48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81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424052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2013-12-17T00:59:00Z</dcterms:created>
  <dcterms:modified xsi:type="dcterms:W3CDTF">2013-12-17T08:25:00Z</dcterms:modified>
</cp:coreProperties>
</file>